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/>
          <w:b/>
          <w:color w:val="1F4E79"/>
          <w:sz w:val="48"/>
        </w:rPr>
        <w:t>独立大储每日情报</w:t>
      </w:r>
    </w:p>
    <w:p>
      <w:pPr>
        <w:jc w:val="center"/>
      </w:pPr>
      <w:r>
        <w:t>2026年08月29日 08:00 | 自动生成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/>
          <w:color w:val="1F4E79"/>
        </w:rPr>
        <w:t>今日总览框架逻辑图</w:t>
      </w:r>
    </w:p>
    <w:p>
      <w:r>
        <w:t>公众号发现 → 官方源校核 → 去重 → 分类评分 → 专业知识域 → 日报与行动建议</w:t>
      </w:r>
    </w:p>
    <w:p>
      <w:pPr>
        <w:pStyle w:val="Heading1"/>
      </w:pPr>
      <w:r>
        <w:rPr>
          <w:rFonts w:ascii="Microsoft YaHei" w:hAnsi="Microsoft YaHei"/>
          <w:color w:val="1F4E79"/>
        </w:rPr>
        <w:t>01 今日核心判断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02 最近24小时新增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03 最近7天补漏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04 政策/市场规则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05 项目/案例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06 商业模式/收益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07 技术/产品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08 竞品</w:t>
      </w:r>
    </w:p>
    <w:p>
      <w:r>
        <w:t>本期暂无满足条件的新资料。</w:t>
      </w:r>
    </w:p>
    <w:p>
      <w:pPr>
        <w:pStyle w:val="Heading1"/>
      </w:pPr>
      <w:r>
        <w:rPr>
          <w:rFonts w:ascii="Microsoft YaHei" w:hAnsi="Microsoft YaHei"/>
          <w:color w:val="1F4E79"/>
        </w:rPr>
        <w:t>09 对现有模型/产品的影响</w:t>
      </w:r>
    </w:p>
    <w:p>
      <w:r>
        <w:t>【模型测算】当前资料池未发现需要立即调整现有模型或产品参数的高置信证据。</w:t>
      </w:r>
    </w:p>
    <w:p>
      <w:pPr>
        <w:pStyle w:val="Heading1"/>
      </w:pPr>
      <w:r>
        <w:rPr>
          <w:rFonts w:ascii="Microsoft YaHei" w:hAnsi="Microsoft YaHei"/>
          <w:color w:val="1F4E79"/>
        </w:rPr>
        <w:t>10 今日建议动作</w:t>
      </w:r>
    </w:p>
    <w:p>
      <w:r>
        <w:t>【模型测算】继续跟踪高重要度官方规则与项目进展；对未经官方交叉验证的公众号结论保持观察。</w:t>
      </w:r>
    </w:p>
    <w:p>
      <w:pPr>
        <w:pStyle w:val="Heading1"/>
      </w:pPr>
      <w:r>
        <w:rPr>
          <w:rFonts w:ascii="Microsoft YaHei" w:hAnsi="Microsoft YaHei"/>
          <w:color w:val="1F4E79"/>
        </w:rPr>
        <w:t>历史专业资料补库</w:t>
      </w:r>
    </w:p>
    <w:p>
      <w:r>
        <w:t>历史资料按 L1（7天）、L2（30–90天）、L3（1年+）分层管理，不重复进入每日新增分析。</w:t>
      </w:r>
    </w:p>
    <w:p>
      <w:pPr>
        <w:pStyle w:val="Heading1"/>
      </w:pPr>
      <w:r>
        <w:rPr>
          <w:rFonts w:ascii="Microsoft YaHei" w:hAnsi="Microsoft YaHei"/>
          <w:color w:val="1F4E79"/>
        </w:rPr>
        <w:t>附件/PPT/PDF截图</w:t>
      </w:r>
    </w:p>
    <w:p>
      <w:r>
        <w:t>资料截图：山西虚拟电厂参与电力市场运营规则</w:t>
      </w:r>
    </w:p>
    <w:p>
      <w:r>
        <w:drawing>
          <wp:inline xmlns:a="http://schemas.openxmlformats.org/drawingml/2006/main" xmlns:pic="http://schemas.openxmlformats.org/drawingml/2006/picture">
            <wp:extent cx="5486400" cy="7759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f80897c143e85_page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资料截图：山西虚拟电厂参与电力市场运营规则</w:t>
      </w:r>
    </w:p>
    <w:p>
      <w:r>
        <w:drawing>
          <wp:inline xmlns:a="http://schemas.openxmlformats.org/drawingml/2006/main" xmlns:pic="http://schemas.openxmlformats.org/drawingml/2006/picture">
            <wp:extent cx="5486400" cy="775092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f80897c143e85_page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09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资料截图：山西虚拟电厂参与电力市场运营规则</w:t>
      </w:r>
    </w:p>
    <w:p>
      <w:r>
        <w:drawing>
          <wp:inline xmlns:a="http://schemas.openxmlformats.org/drawingml/2006/main" xmlns:pic="http://schemas.openxmlformats.org/drawingml/2006/picture">
            <wp:extent cx="5486400" cy="7759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f80897c143e85_page_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Microsoft YaHei" w:hAnsi="Microsoft YaHei"/>
          <w:color w:val="1F4E79"/>
        </w:rPr>
        <w:t>原始资料链接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